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p>
    <w:p w:rsidR="008F4553" w:rsidRDefault="008F4553" w:rsidP="00DA2942">
      <w:pPr>
        <w:jc w:val="center"/>
        <w:rPr>
          <w:sz w:val="22"/>
          <w:szCs w:val="22"/>
        </w:rPr>
      </w:pPr>
    </w:p>
    <w:p w:rsidR="008F4553" w:rsidRDefault="008F4553" w:rsidP="008F4553">
      <w:pPr>
        <w:rPr>
          <w:sz w:val="22"/>
          <w:szCs w:val="22"/>
        </w:rPr>
      </w:pPr>
    </w:p>
    <w:p w:rsidR="008F4553" w:rsidRDefault="008F4553" w:rsidP="008F4553">
      <w:pPr>
        <w:rPr>
          <w:sz w:val="22"/>
          <w:szCs w:val="22"/>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B91ADA" w:rsidRDefault="00B91ADA" w:rsidP="00B91ADA">
      <w:pPr>
        <w:tabs>
          <w:tab w:val="center" w:pos="1882"/>
          <w:tab w:val="right" w:pos="3765"/>
        </w:tabs>
      </w:pPr>
    </w:p>
    <w:p w:rsidR="00ED078F" w:rsidRPr="005E23E5" w:rsidRDefault="00ED078F" w:rsidP="00ED078F">
      <w:pPr>
        <w:jc w:val="center"/>
      </w:pPr>
    </w:p>
    <w:p w:rsidR="00ED078F" w:rsidRDefault="00ED078F" w:rsidP="00ED078F">
      <w:pPr>
        <w:spacing w:line="360" w:lineRule="auto"/>
        <w:jc w:val="center"/>
        <w:rPr>
          <w:b/>
          <w:color w:val="333333"/>
        </w:rPr>
      </w:pPr>
      <w:r>
        <w:rPr>
          <w:b/>
          <w:noProof/>
          <w:color w:val="333333"/>
          <w:lang w:val="en-GB" w:eastAsia="en-GB"/>
        </w:rPr>
        <w:drawing>
          <wp:anchor distT="0" distB="0" distL="114300" distR="114300" simplePos="0" relativeHeight="251667456" behindDoc="1" locked="0" layoutInCell="1" allowOverlap="1" wp14:anchorId="7F40012B" wp14:editId="5579C9A7">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ED078F" w:rsidRDefault="00ED078F" w:rsidP="00ED078F">
      <w:pPr>
        <w:spacing w:line="360" w:lineRule="auto"/>
        <w:jc w:val="center"/>
        <w:rPr>
          <w:b/>
          <w:color w:val="333333"/>
        </w:rPr>
      </w:pPr>
    </w:p>
    <w:p w:rsidR="00ED078F" w:rsidRDefault="00ED078F" w:rsidP="00DA2942">
      <w:pPr>
        <w:spacing w:line="360" w:lineRule="auto"/>
        <w:rPr>
          <w:b/>
          <w:color w:val="333333"/>
        </w:rPr>
      </w:pPr>
    </w:p>
    <w:p w:rsidR="00ED078F" w:rsidRPr="00F07246" w:rsidRDefault="00ED078F" w:rsidP="00ED078F">
      <w:pPr>
        <w:spacing w:line="360" w:lineRule="auto"/>
        <w:jc w:val="center"/>
        <w:rPr>
          <w:b/>
          <w:color w:val="333333"/>
        </w:rPr>
      </w:pPr>
      <w:r>
        <w:rPr>
          <w:b/>
          <w:color w:val="333333"/>
        </w:rPr>
        <w:t>LATVIJAS  REPUBLIKA</w:t>
      </w:r>
    </w:p>
    <w:p w:rsidR="00ED078F" w:rsidRDefault="00ED078F" w:rsidP="00ED078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ED078F" w:rsidRPr="00644D31" w:rsidRDefault="00ED078F" w:rsidP="00ED078F">
      <w:pPr>
        <w:jc w:val="center"/>
        <w:rPr>
          <w:b/>
          <w:color w:val="333333"/>
          <w:sz w:val="16"/>
          <w:szCs w:val="16"/>
        </w:rPr>
      </w:pPr>
      <w:r>
        <w:rPr>
          <w:b/>
          <w:color w:val="333333"/>
          <w:sz w:val="16"/>
          <w:szCs w:val="16"/>
        </w:rPr>
        <w:t>____________________________________________________________________________________________</w:t>
      </w:r>
    </w:p>
    <w:p w:rsidR="00ED078F" w:rsidRDefault="00ED078F" w:rsidP="00ED078F">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ED078F" w:rsidRDefault="00ED078F" w:rsidP="00ED078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ED078F" w:rsidRPr="00463676" w:rsidRDefault="00ED078F" w:rsidP="00ED078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ED078F" w:rsidRDefault="00ED078F" w:rsidP="00ED078F">
      <w:pPr>
        <w:ind w:firstLine="540"/>
        <w:jc w:val="right"/>
        <w:rPr>
          <w:sz w:val="20"/>
          <w:szCs w:val="20"/>
        </w:rPr>
      </w:pPr>
    </w:p>
    <w:p w:rsidR="00ED078F" w:rsidRPr="00312A6C" w:rsidRDefault="00ED078F" w:rsidP="00ED078F">
      <w:pPr>
        <w:jc w:val="center"/>
        <w:rPr>
          <w:b/>
        </w:rPr>
      </w:pPr>
      <w:r>
        <w:rPr>
          <w:b/>
        </w:rPr>
        <w:t xml:space="preserve">                                                                                                                                                      </w:t>
      </w:r>
    </w:p>
    <w:p w:rsidR="00DA2942" w:rsidRPr="00060AEE" w:rsidRDefault="00DA2942" w:rsidP="00DA2942">
      <w:pPr>
        <w:jc w:val="right"/>
      </w:pPr>
      <w:r>
        <w:rPr>
          <w:b/>
        </w:rPr>
        <w:t xml:space="preserve">                          </w:t>
      </w:r>
      <w:r w:rsidRPr="00060AEE">
        <w:t xml:space="preserve">APSTIPRINĀTI                                                                                                                            </w:t>
      </w:r>
    </w:p>
    <w:p w:rsidR="00DA2942" w:rsidRDefault="00DA2942" w:rsidP="00DA2942">
      <w:pPr>
        <w:shd w:val="clear" w:color="auto" w:fill="FFFFFF"/>
        <w:ind w:left="4320"/>
        <w:jc w:val="right"/>
      </w:pPr>
      <w:r>
        <w:t>A</w:t>
      </w:r>
      <w:r w:rsidRPr="00924F85">
        <w:t xml:space="preserve">r Kārsavas  novada domes 2015.gada </w:t>
      </w:r>
    </w:p>
    <w:p w:rsidR="00DA2942" w:rsidRPr="00924F85" w:rsidRDefault="00DA2942" w:rsidP="00DA2942">
      <w:pPr>
        <w:shd w:val="clear" w:color="auto" w:fill="FFFFFF"/>
        <w:ind w:left="4320"/>
        <w:jc w:val="right"/>
      </w:pPr>
      <w:r w:rsidRPr="00924F85">
        <w:t xml:space="preserve">24.septembra sēdes lēmumu </w:t>
      </w:r>
      <w:r w:rsidRPr="00060AEE">
        <w:t>Nr.</w:t>
      </w:r>
      <w:r>
        <w:t>20</w:t>
      </w:r>
      <w:r w:rsidRPr="00924F85">
        <w:rPr>
          <w:color w:val="FF0000"/>
        </w:rPr>
        <w:t xml:space="preserve"> </w:t>
      </w:r>
      <w:r w:rsidRPr="00924F85">
        <w:t>(protokols Nr.11)</w:t>
      </w:r>
    </w:p>
    <w:p w:rsidR="00DA2942" w:rsidRPr="00924F85" w:rsidRDefault="00DA2942" w:rsidP="00DA2942">
      <w:pPr>
        <w:shd w:val="clear" w:color="auto" w:fill="FFFFFF"/>
        <w:jc w:val="right"/>
      </w:pPr>
    </w:p>
    <w:p w:rsidR="00DA2942" w:rsidRPr="00DA2942" w:rsidRDefault="00DA2942" w:rsidP="00DA2942">
      <w:pPr>
        <w:shd w:val="clear" w:color="auto" w:fill="FFFFFF"/>
        <w:jc w:val="center"/>
        <w:rPr>
          <w:b/>
        </w:rPr>
      </w:pPr>
      <w:r w:rsidRPr="00DA2942">
        <w:rPr>
          <w:b/>
        </w:rPr>
        <w:t xml:space="preserve">Kārsavas novada domes </w:t>
      </w:r>
    </w:p>
    <w:p w:rsidR="00DA2942" w:rsidRPr="00DA2942" w:rsidRDefault="00DA2942" w:rsidP="00DA2942">
      <w:pPr>
        <w:shd w:val="clear" w:color="auto" w:fill="FFFFFF"/>
        <w:jc w:val="center"/>
        <w:rPr>
          <w:b/>
        </w:rPr>
      </w:pPr>
      <w:r w:rsidRPr="00DA2942">
        <w:rPr>
          <w:b/>
        </w:rPr>
        <w:t>2015.gada 24.septembra saistošie noteikumi Nr.10</w:t>
      </w:r>
    </w:p>
    <w:p w:rsidR="00DA2942" w:rsidRPr="00DA2942" w:rsidRDefault="00DA2942" w:rsidP="00DA2942">
      <w:pPr>
        <w:shd w:val="clear" w:color="auto" w:fill="FFFFFF"/>
        <w:jc w:val="center"/>
        <w:rPr>
          <w:b/>
        </w:rPr>
      </w:pPr>
      <w:r w:rsidRPr="00DA2942">
        <w:rPr>
          <w:b/>
        </w:rPr>
        <w:t>“</w:t>
      </w:r>
      <w:bookmarkStart w:id="0" w:name="_GoBack"/>
      <w:r w:rsidRPr="00DA2942">
        <w:rPr>
          <w:b/>
        </w:rPr>
        <w:t>Par ēdināšanas izmaksu segšanu izglītojamajiem</w:t>
      </w:r>
    </w:p>
    <w:p w:rsidR="00DA2942" w:rsidRPr="00DA2942" w:rsidRDefault="00DA2942" w:rsidP="00DA2942">
      <w:pPr>
        <w:shd w:val="clear" w:color="auto" w:fill="FFFFFF"/>
        <w:jc w:val="center"/>
        <w:rPr>
          <w:b/>
        </w:rPr>
      </w:pPr>
      <w:r w:rsidRPr="00DA2942">
        <w:rPr>
          <w:b/>
        </w:rPr>
        <w:t>Kārsavas novada pašvaldības izglītības iestādēs</w:t>
      </w:r>
      <w:bookmarkEnd w:id="0"/>
      <w:r w:rsidRPr="00DA2942">
        <w:rPr>
          <w:b/>
        </w:rPr>
        <w:t>”</w:t>
      </w:r>
    </w:p>
    <w:p w:rsidR="00DA2942" w:rsidRPr="00924F85" w:rsidRDefault="00DA2942" w:rsidP="00DA2942">
      <w:pPr>
        <w:shd w:val="clear" w:color="auto" w:fill="FFFFFF"/>
        <w:jc w:val="both"/>
      </w:pPr>
    </w:p>
    <w:p w:rsidR="00DA2942" w:rsidRPr="00924F85" w:rsidRDefault="00DA2942" w:rsidP="00DA2942">
      <w:pPr>
        <w:shd w:val="clear" w:color="auto" w:fill="FFFFFF"/>
        <w:ind w:left="5040" w:firstLine="720"/>
        <w:jc w:val="both"/>
      </w:pPr>
      <w:r w:rsidRPr="00924F85">
        <w:t xml:space="preserve">Izdoti saskaņā ar likuma "Par pašvaldībām" 43.panta trešo daļu, Izglītības likuma 17.panta trešās daļas 11.punktu </w:t>
      </w:r>
    </w:p>
    <w:p w:rsidR="00DA2942" w:rsidRPr="00924F85" w:rsidRDefault="00DA2942" w:rsidP="00DA2942">
      <w:pPr>
        <w:shd w:val="clear" w:color="auto" w:fill="FFFFFF"/>
      </w:pPr>
    </w:p>
    <w:p w:rsidR="00DA2942" w:rsidRPr="00924F85" w:rsidRDefault="00DA2942" w:rsidP="00DA2942">
      <w:pPr>
        <w:ind w:firstLine="720"/>
        <w:jc w:val="both"/>
      </w:pPr>
      <w:r w:rsidRPr="00924F85">
        <w:t xml:space="preserve">1. Saistošie noteikumi nosaka kārtību, kādā no pašvaldības budžeta līdzekļiem tiek segti Kārsavas novada pašvaldības dibināto izglītības iestāžu, kuras īsteno pirmsskolas izglītības (bērniem no piecu gadu vecuma līdz pamatizglītības ieguves uzsākšanai) un vispārizglītojošās programmas izglītojamo ēdināšanas izdevumi izglītības iestāžu ēdnīcās mācību gada ietvaros.     </w:t>
      </w:r>
    </w:p>
    <w:p w:rsidR="00DA2942" w:rsidRPr="00924F85" w:rsidRDefault="00DA2942" w:rsidP="00DA2942">
      <w:pPr>
        <w:ind w:firstLine="720"/>
        <w:jc w:val="both"/>
      </w:pPr>
      <w:r w:rsidRPr="00924F85">
        <w:t xml:space="preserve">2. Kārsavas novada pašvaldības izglītības iestāžu izglītojamo ēdināšanas izmaksu segšana (100% apmērā) no pašvaldības budžeta līdzekļiem tiek nodrošināta: </w:t>
      </w:r>
    </w:p>
    <w:p w:rsidR="00DA2942" w:rsidRPr="00924F85" w:rsidRDefault="00DA2942" w:rsidP="00DA2942">
      <w:pPr>
        <w:ind w:firstLine="720"/>
        <w:jc w:val="both"/>
      </w:pPr>
      <w:r w:rsidRPr="00924F85">
        <w:t xml:space="preserve">2.1. pirmsskolas izglītības programmas (bērniem no piecu gadu vecuma līdz pamatizglītības ieguves uzsākšanai) izglītojamajiem; </w:t>
      </w:r>
    </w:p>
    <w:p w:rsidR="00DA2942" w:rsidRPr="00924F85" w:rsidRDefault="00DA2942" w:rsidP="00DA2942">
      <w:pPr>
        <w:ind w:firstLine="720"/>
        <w:jc w:val="both"/>
      </w:pPr>
      <w:r w:rsidRPr="00924F85">
        <w:t xml:space="preserve">2.2. vispārizglītojošās programmas 5. – 12.klašu  izglītojamajiem. </w:t>
      </w:r>
    </w:p>
    <w:p w:rsidR="00DA2942" w:rsidRDefault="00DA2942" w:rsidP="00DA2942">
      <w:pPr>
        <w:jc w:val="both"/>
      </w:pPr>
    </w:p>
    <w:p w:rsidR="00DA2942" w:rsidRDefault="00DA2942" w:rsidP="00DA2942">
      <w:pPr>
        <w:tabs>
          <w:tab w:val="center" w:pos="4153"/>
        </w:tabs>
      </w:pPr>
      <w:r>
        <w:t xml:space="preserve">Domes priekšsēdētāja           </w:t>
      </w:r>
      <w:r w:rsidR="00D8470F">
        <w:t xml:space="preserve">                                   </w:t>
      </w:r>
      <w:r>
        <w:t xml:space="preserve">               </w:t>
      </w:r>
      <w:proofErr w:type="spellStart"/>
      <w:r>
        <w:t>I.Silicka</w:t>
      </w:r>
      <w:proofErr w:type="spellEnd"/>
    </w:p>
    <w:p w:rsidR="00DA2942" w:rsidRDefault="00DA2942" w:rsidP="00DA2942">
      <w:pPr>
        <w:rPr>
          <w:b/>
        </w:rPr>
      </w:pPr>
    </w:p>
    <w:p w:rsidR="00DA2942" w:rsidRDefault="00DA2942" w:rsidP="00DA2942">
      <w:pPr>
        <w:jc w:val="both"/>
      </w:pPr>
    </w:p>
    <w:p w:rsidR="00DA2942" w:rsidRDefault="00DA2942" w:rsidP="00DA2942">
      <w:pPr>
        <w:jc w:val="both"/>
      </w:pPr>
    </w:p>
    <w:p w:rsidR="00DA2942" w:rsidRDefault="00DA2942" w:rsidP="00DA2942">
      <w:pPr>
        <w:jc w:val="both"/>
      </w:pPr>
    </w:p>
    <w:p w:rsidR="00DA2942" w:rsidRDefault="00DA2942" w:rsidP="00DA2942">
      <w:pPr>
        <w:jc w:val="both"/>
      </w:pPr>
    </w:p>
    <w:p w:rsidR="00DA2942" w:rsidRDefault="00DA2942" w:rsidP="00DA2942">
      <w:pPr>
        <w:jc w:val="center"/>
        <w:rPr>
          <w:color w:val="333333"/>
          <w:sz w:val="18"/>
          <w:szCs w:val="18"/>
        </w:rPr>
      </w:pPr>
    </w:p>
    <w:p w:rsidR="00DA2942" w:rsidRDefault="00DA2942" w:rsidP="00DA2942">
      <w:pPr>
        <w:tabs>
          <w:tab w:val="center" w:pos="1882"/>
          <w:tab w:val="right" w:pos="3765"/>
        </w:tabs>
      </w:pPr>
    </w:p>
    <w:p w:rsidR="00DA2942" w:rsidRDefault="00DA2942" w:rsidP="00DA2942"/>
    <w:p w:rsidR="00DA2942" w:rsidRPr="005E23E5" w:rsidRDefault="00DA2942" w:rsidP="00DA2942">
      <w:pPr>
        <w:jc w:val="center"/>
      </w:pPr>
    </w:p>
    <w:p w:rsidR="00DA2942" w:rsidRDefault="00DA2942" w:rsidP="00DA2942">
      <w:pPr>
        <w:spacing w:line="360" w:lineRule="auto"/>
        <w:jc w:val="center"/>
        <w:rPr>
          <w:b/>
          <w:color w:val="333333"/>
        </w:rPr>
      </w:pPr>
      <w:r>
        <w:rPr>
          <w:b/>
          <w:noProof/>
          <w:color w:val="333333"/>
          <w:lang w:val="en-GB" w:eastAsia="en-GB"/>
        </w:rPr>
        <w:drawing>
          <wp:anchor distT="0" distB="0" distL="114300" distR="114300" simplePos="0" relativeHeight="251670528" behindDoc="1" locked="0" layoutInCell="1" allowOverlap="1" wp14:anchorId="69E83E6E" wp14:editId="0DAFE698">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7" name="Picture 7"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DA2942" w:rsidRDefault="00DA2942" w:rsidP="00DA2942">
      <w:pPr>
        <w:spacing w:line="360" w:lineRule="auto"/>
        <w:jc w:val="center"/>
        <w:rPr>
          <w:b/>
          <w:color w:val="333333"/>
        </w:rPr>
      </w:pPr>
    </w:p>
    <w:p w:rsidR="00DA2942" w:rsidRDefault="00DA2942" w:rsidP="00DA2942">
      <w:pPr>
        <w:spacing w:line="360" w:lineRule="auto"/>
        <w:jc w:val="center"/>
        <w:rPr>
          <w:b/>
          <w:color w:val="333333"/>
        </w:rPr>
      </w:pPr>
    </w:p>
    <w:p w:rsidR="00DA2942" w:rsidRPr="00F07246" w:rsidRDefault="00DA2942" w:rsidP="00DA2942">
      <w:pPr>
        <w:spacing w:line="360" w:lineRule="auto"/>
        <w:jc w:val="center"/>
        <w:rPr>
          <w:b/>
          <w:color w:val="333333"/>
        </w:rPr>
      </w:pPr>
      <w:r>
        <w:rPr>
          <w:b/>
          <w:color w:val="333333"/>
        </w:rPr>
        <w:t>LATVIJAS  REPUBLIKA</w:t>
      </w:r>
    </w:p>
    <w:p w:rsidR="00DA2942" w:rsidRDefault="00DA2942" w:rsidP="00DA2942">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DA2942" w:rsidRPr="00644D31" w:rsidRDefault="00DA2942" w:rsidP="00DA2942">
      <w:pPr>
        <w:jc w:val="center"/>
        <w:rPr>
          <w:b/>
          <w:color w:val="333333"/>
          <w:sz w:val="16"/>
          <w:szCs w:val="16"/>
        </w:rPr>
      </w:pPr>
      <w:r>
        <w:rPr>
          <w:b/>
          <w:color w:val="333333"/>
          <w:sz w:val="16"/>
          <w:szCs w:val="16"/>
        </w:rPr>
        <w:t>____________________________________________________________________________________________</w:t>
      </w:r>
    </w:p>
    <w:p w:rsidR="00DA2942" w:rsidRDefault="00DA2942" w:rsidP="00DA2942">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DA2942" w:rsidRDefault="00DA2942" w:rsidP="00DA2942">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DA2942" w:rsidRPr="00463676" w:rsidRDefault="00DA2942" w:rsidP="00DA2942">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8" w:history="1">
        <w:r w:rsidRPr="00695E8D">
          <w:rPr>
            <w:rStyle w:val="Hyperlink"/>
            <w:sz w:val="18"/>
            <w:szCs w:val="18"/>
          </w:rPr>
          <w:t>dome@karsava.lv</w:t>
        </w:r>
      </w:hyperlink>
    </w:p>
    <w:p w:rsidR="00DA2942" w:rsidRPr="00924F85" w:rsidRDefault="00DA2942" w:rsidP="00DA2942">
      <w:pPr>
        <w:jc w:val="both"/>
      </w:pPr>
    </w:p>
    <w:p w:rsidR="00DA2942" w:rsidRPr="00924F85" w:rsidRDefault="00DA2942" w:rsidP="00DA2942">
      <w:pPr>
        <w:jc w:val="both"/>
      </w:pPr>
    </w:p>
    <w:p w:rsidR="00DA2942" w:rsidRPr="003C309C" w:rsidRDefault="00DA2942" w:rsidP="00DA2942">
      <w:pPr>
        <w:shd w:val="clear" w:color="auto" w:fill="FFFFFF"/>
        <w:jc w:val="center"/>
        <w:rPr>
          <w:b/>
          <w:bCs/>
        </w:rPr>
      </w:pPr>
      <w:r w:rsidRPr="003C309C">
        <w:rPr>
          <w:b/>
          <w:bCs/>
        </w:rPr>
        <w:t>Kārsavas novada domes 2015.gada 24.septembra saistošo noteikumu Nr. 10</w:t>
      </w:r>
    </w:p>
    <w:p w:rsidR="00DA2942" w:rsidRPr="003C309C" w:rsidRDefault="00DA2942" w:rsidP="00DA2942">
      <w:pPr>
        <w:shd w:val="clear" w:color="auto" w:fill="FFFFFF"/>
        <w:jc w:val="center"/>
        <w:rPr>
          <w:rFonts w:eastAsiaTheme="minorHAnsi"/>
          <w:b/>
        </w:rPr>
      </w:pPr>
      <w:r w:rsidRPr="003C309C">
        <w:rPr>
          <w:b/>
        </w:rPr>
        <w:t>“Par ēdināšanas izmaksu segšanu izglītojamajiem</w:t>
      </w:r>
    </w:p>
    <w:p w:rsidR="00DA2942" w:rsidRPr="003C309C" w:rsidRDefault="00DA2942" w:rsidP="00DA2942">
      <w:pPr>
        <w:shd w:val="clear" w:color="auto" w:fill="FFFFFF"/>
        <w:jc w:val="center"/>
        <w:rPr>
          <w:b/>
        </w:rPr>
      </w:pPr>
      <w:r w:rsidRPr="003C309C">
        <w:rPr>
          <w:b/>
        </w:rPr>
        <w:t>Kārsavas novada pašvaldības izglītības</w:t>
      </w:r>
      <w:r w:rsidRPr="00924F85">
        <w:t xml:space="preserve"> </w:t>
      </w:r>
      <w:r w:rsidRPr="003C309C">
        <w:rPr>
          <w:b/>
        </w:rPr>
        <w:t>iestādēs”</w:t>
      </w:r>
    </w:p>
    <w:p w:rsidR="00DA2942" w:rsidRPr="003C309C" w:rsidRDefault="00DA2942" w:rsidP="00DA2942">
      <w:pPr>
        <w:ind w:firstLine="720"/>
        <w:jc w:val="center"/>
        <w:rPr>
          <w:b/>
          <w:bCs/>
        </w:rPr>
      </w:pPr>
      <w:r w:rsidRPr="003C309C">
        <w:rPr>
          <w:b/>
          <w:bCs/>
        </w:rPr>
        <w:t>paskaidrojuma raksts</w:t>
      </w:r>
    </w:p>
    <w:p w:rsidR="00DA2942" w:rsidRDefault="00DA2942" w:rsidP="00DA2942">
      <w:pPr>
        <w:ind w:firstLine="720"/>
        <w:jc w:val="center"/>
        <w:rPr>
          <w:bCs/>
        </w:rPr>
      </w:pPr>
    </w:p>
    <w:p w:rsidR="00DA2942" w:rsidRPr="00924F85" w:rsidRDefault="00DA2942" w:rsidP="00DA2942">
      <w:pPr>
        <w:ind w:firstLine="720"/>
        <w:jc w:val="center"/>
        <w:rPr>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67"/>
        <w:gridCol w:w="5223"/>
      </w:tblGrid>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pPr>
              <w:jc w:val="center"/>
            </w:pPr>
            <w:r w:rsidRPr="00924F85">
              <w:t>Paskaidrojuma raksta sadaļas</w:t>
            </w:r>
          </w:p>
        </w:tc>
        <w:tc>
          <w:tcPr>
            <w:tcW w:w="3150" w:type="pct"/>
            <w:tcBorders>
              <w:top w:val="outset" w:sz="6" w:space="0" w:color="414142"/>
              <w:left w:val="outset" w:sz="6" w:space="0" w:color="414142"/>
              <w:bottom w:val="outset" w:sz="6" w:space="0" w:color="414142"/>
              <w:right w:val="outset" w:sz="6" w:space="0" w:color="414142"/>
            </w:tcBorders>
            <w:vAlign w:val="center"/>
            <w:hideMark/>
          </w:tcPr>
          <w:p w:rsidR="00DA2942" w:rsidRPr="00924F85" w:rsidRDefault="00DA2942" w:rsidP="00456610">
            <w:pPr>
              <w:jc w:val="center"/>
            </w:pPr>
            <w:r w:rsidRPr="00924F85">
              <w:t>Norādāmā informācija</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1. Projekta nepieciešamības pamatojums</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pPr>
              <w:jc w:val="both"/>
            </w:pPr>
            <w:r w:rsidRPr="00924F85">
              <w:t>Saskaņā ar </w:t>
            </w:r>
            <w:hyperlink r:id="rId9" w:tgtFrame="_blank" w:history="1">
              <w:r w:rsidRPr="00924F85">
                <w:rPr>
                  <w:rStyle w:val="Hyperlink"/>
                </w:rPr>
                <w:t>Izglītības likuma</w:t>
              </w:r>
            </w:hyperlink>
            <w:r w:rsidRPr="00924F85">
              <w:t> </w:t>
            </w:r>
            <w:hyperlink r:id="rId10" w:anchor="p17" w:tgtFrame="_blank" w:history="1">
              <w:r w:rsidRPr="00924F85">
                <w:rPr>
                  <w:rStyle w:val="Hyperlink"/>
                </w:rPr>
                <w:t>17.panta</w:t>
              </w:r>
            </w:hyperlink>
            <w:r w:rsidRPr="00924F85">
              <w:t> trešo daļu pašvaldība nosaka tos izglītojamos, kuru ēdināšanas izmaksas sedz pašvaldība.</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2. Īss projekta satura izklāsts</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pPr>
              <w:jc w:val="both"/>
            </w:pPr>
            <w:r w:rsidRPr="00924F85">
              <w:t>Ar saistošajiem noteikumiem noteikts, ka no pašvaldības budžeta līdzekļiem tiek segti Kārsavas novada pašvaldības dibināto izglītības iestāžu, kuras īsteno pirmsskolas izglītības (bērniem no piecu gadu vecuma līdz pamatizglītības ieguves uzsākšanai) un vispārizglītojošās programmas izglītojamo ēdināšanas izdevumi izglītības iestāžu ēdnīcās mācību gada ietvaros.</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3. Informācija par plānoto projekta ietekmi uz pašvaldības budžetu</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Saistošo noteikumu izpilde notiks budžeta ietvaros.</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4. Informācija par plānoto projekta ietekmi uz uzņēmējdarbības vidi pašvaldības teritorijā</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Nav attiecināms</w:t>
            </w:r>
            <w:r w:rsidRPr="00924F85">
              <w:rPr>
                <w:i/>
                <w:iCs/>
              </w:rPr>
              <w:t>.</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t>5. Informācija par administratīvajām procedūrām</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pPr>
              <w:jc w:val="both"/>
            </w:pPr>
            <w:r w:rsidRPr="00924F85">
              <w:t>Noteikumu izpildi nodrošinās Kārsavas novada pašvaldības izglītības darba speciālisti  un pašvaldības vispārizglītojošās izglītības iestādes.</w:t>
            </w:r>
          </w:p>
        </w:tc>
      </w:tr>
      <w:tr w:rsidR="00DA2942" w:rsidRPr="00924F85" w:rsidTr="00456610">
        <w:tc>
          <w:tcPr>
            <w:tcW w:w="18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r w:rsidRPr="00924F85">
              <w:lastRenderedPageBreak/>
              <w:t>6. Informācija par konsultācijām ar privātpersonām</w:t>
            </w:r>
          </w:p>
        </w:tc>
        <w:tc>
          <w:tcPr>
            <w:tcW w:w="3150" w:type="pct"/>
            <w:tcBorders>
              <w:top w:val="outset" w:sz="6" w:space="0" w:color="414142"/>
              <w:left w:val="outset" w:sz="6" w:space="0" w:color="414142"/>
              <w:bottom w:val="outset" w:sz="6" w:space="0" w:color="414142"/>
              <w:right w:val="outset" w:sz="6" w:space="0" w:color="414142"/>
            </w:tcBorders>
            <w:hideMark/>
          </w:tcPr>
          <w:p w:rsidR="00DA2942" w:rsidRPr="00924F85" w:rsidRDefault="00DA2942" w:rsidP="00456610">
            <w:pPr>
              <w:jc w:val="both"/>
            </w:pPr>
            <w:r w:rsidRPr="00924F85">
              <w:t>Konsultācijas notika ar vispārizglītojošo izglītības iestāžu direktoriem.</w:t>
            </w:r>
          </w:p>
        </w:tc>
      </w:tr>
    </w:tbl>
    <w:p w:rsidR="00DA2942" w:rsidRPr="00924F85" w:rsidRDefault="00DA2942" w:rsidP="00DA2942">
      <w:pPr>
        <w:rPr>
          <w:rFonts w:eastAsiaTheme="minorHAnsi"/>
        </w:rPr>
      </w:pPr>
    </w:p>
    <w:p w:rsidR="00ED078F" w:rsidRPr="008420DC" w:rsidRDefault="00ED078F" w:rsidP="00ED078F"/>
    <w:p w:rsidR="00ED078F" w:rsidRDefault="00B36AE5" w:rsidP="00ED078F">
      <w:pPr>
        <w:tabs>
          <w:tab w:val="center" w:pos="4153"/>
        </w:tabs>
      </w:pPr>
      <w:r>
        <w:t>Domes priekšsēdētāja</w:t>
      </w:r>
      <w:r w:rsidR="00ED078F">
        <w:t xml:space="preserve">           </w:t>
      </w:r>
      <w:r w:rsidR="00D8470F">
        <w:t xml:space="preserve">                                  </w:t>
      </w:r>
      <w:r>
        <w:t xml:space="preserve">               </w:t>
      </w:r>
      <w:proofErr w:type="spellStart"/>
      <w:r w:rsidR="00ED078F">
        <w:t>I.Silicka</w:t>
      </w:r>
      <w:proofErr w:type="spellEnd"/>
    </w:p>
    <w:p w:rsidR="00ED078F" w:rsidRDefault="00ED078F" w:rsidP="00ED078F">
      <w:pPr>
        <w:spacing w:line="360" w:lineRule="auto"/>
      </w:pPr>
    </w:p>
    <w:p w:rsidR="00ED078F" w:rsidRDefault="00ED078F" w:rsidP="00ED078F">
      <w:pPr>
        <w:spacing w:line="360" w:lineRule="auto"/>
      </w:pPr>
    </w:p>
    <w:p w:rsidR="00ED078F" w:rsidRDefault="00ED078F" w:rsidP="00ED078F">
      <w:pPr>
        <w:spacing w:line="360" w:lineRule="auto"/>
      </w:pPr>
    </w:p>
    <w:p w:rsidR="00ED078F" w:rsidRDefault="00ED078F" w:rsidP="00ED078F">
      <w:pPr>
        <w:spacing w:line="360" w:lineRule="auto"/>
      </w:pPr>
    </w:p>
    <w:p w:rsidR="00ED078F" w:rsidRPr="00544FE1" w:rsidRDefault="00ED078F" w:rsidP="00ED078F">
      <w:pPr>
        <w:spacing w:line="360" w:lineRule="auto"/>
      </w:pPr>
    </w:p>
    <w:p w:rsidR="00ED078F" w:rsidRPr="00490F5A" w:rsidRDefault="00ED078F" w:rsidP="00ED078F">
      <w:pPr>
        <w:jc w:val="center"/>
        <w:rPr>
          <w:color w:val="333333"/>
          <w:sz w:val="18"/>
          <w:szCs w:val="18"/>
        </w:rPr>
      </w:pPr>
    </w:p>
    <w:p w:rsidR="009B4D18" w:rsidRDefault="009B4D18" w:rsidP="00834D31">
      <w:pPr>
        <w:jc w:val="center"/>
        <w:rPr>
          <w:b/>
        </w:rPr>
      </w:pPr>
    </w:p>
    <w:sectPr w:rsidR="009B4D18"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1841BA7"/>
    <w:multiLevelType w:val="hybridMultilevel"/>
    <w:tmpl w:val="1E062CEA"/>
    <w:lvl w:ilvl="0" w:tplc="8DA8130C">
      <w:start w:val="8"/>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161D0683"/>
    <w:multiLevelType w:val="hybridMultilevel"/>
    <w:tmpl w:val="6D9EC71A"/>
    <w:lvl w:ilvl="0" w:tplc="9C1C6D3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5"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4DD5BA0"/>
    <w:multiLevelType w:val="multilevel"/>
    <w:tmpl w:val="915A8FC4"/>
    <w:lvl w:ilvl="0">
      <w:start w:val="4"/>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5"/>
  </w:num>
  <w:num w:numId="3">
    <w:abstractNumId w:val="19"/>
  </w:num>
  <w:num w:numId="4">
    <w:abstractNumId w:val="7"/>
  </w:num>
  <w:num w:numId="5">
    <w:abstractNumId w:val="27"/>
  </w:num>
  <w:num w:numId="6">
    <w:abstractNumId w:val="26"/>
  </w:num>
  <w:num w:numId="7">
    <w:abstractNumId w:val="14"/>
  </w:num>
  <w:num w:numId="8">
    <w:abstractNumId w:val="6"/>
  </w:num>
  <w:num w:numId="9">
    <w:abstractNumId w:val="10"/>
  </w:num>
  <w:num w:numId="10">
    <w:abstractNumId w:val="17"/>
  </w:num>
  <w:num w:numId="11">
    <w:abstractNumId w:val="12"/>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8"/>
  </w:num>
  <w:num w:numId="19">
    <w:abstractNumId w:val="5"/>
  </w:num>
  <w:num w:numId="20">
    <w:abstractNumId w:val="24"/>
  </w:num>
  <w:num w:numId="21">
    <w:abstractNumId w:val="0"/>
  </w:num>
  <w:num w:numId="22">
    <w:abstractNumId w:val="23"/>
  </w:num>
  <w:num w:numId="23">
    <w:abstractNumId w:val="15"/>
  </w:num>
  <w:num w:numId="24">
    <w:abstractNumId w:val="20"/>
  </w:num>
  <w:num w:numId="25">
    <w:abstractNumId w:val="13"/>
  </w:num>
  <w:num w:numId="26">
    <w:abstractNumId w:val="3"/>
  </w:num>
  <w:num w:numId="27">
    <w:abstractNumId w:val="2"/>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97447"/>
    <w:rsid w:val="000A2C4A"/>
    <w:rsid w:val="000A5F7C"/>
    <w:rsid w:val="000C2867"/>
    <w:rsid w:val="000F302E"/>
    <w:rsid w:val="00151749"/>
    <w:rsid w:val="001842D5"/>
    <w:rsid w:val="00193003"/>
    <w:rsid w:val="001D1AC4"/>
    <w:rsid w:val="001F7CA7"/>
    <w:rsid w:val="00236BB2"/>
    <w:rsid w:val="00242E0A"/>
    <w:rsid w:val="00271E7C"/>
    <w:rsid w:val="0027491F"/>
    <w:rsid w:val="00276AC3"/>
    <w:rsid w:val="00285876"/>
    <w:rsid w:val="002B0946"/>
    <w:rsid w:val="002C4D29"/>
    <w:rsid w:val="002E2EB7"/>
    <w:rsid w:val="00323A7D"/>
    <w:rsid w:val="003A1539"/>
    <w:rsid w:val="003B75C9"/>
    <w:rsid w:val="003F6BBB"/>
    <w:rsid w:val="00484DA7"/>
    <w:rsid w:val="004856B3"/>
    <w:rsid w:val="004F1611"/>
    <w:rsid w:val="005719D9"/>
    <w:rsid w:val="005A410B"/>
    <w:rsid w:val="005A579D"/>
    <w:rsid w:val="005C3047"/>
    <w:rsid w:val="005D67B5"/>
    <w:rsid w:val="005D7BC6"/>
    <w:rsid w:val="00617A64"/>
    <w:rsid w:val="00680F1F"/>
    <w:rsid w:val="006A3F99"/>
    <w:rsid w:val="006C2640"/>
    <w:rsid w:val="006C6AF5"/>
    <w:rsid w:val="006E0776"/>
    <w:rsid w:val="007111ED"/>
    <w:rsid w:val="00713FE7"/>
    <w:rsid w:val="007329CF"/>
    <w:rsid w:val="00776C28"/>
    <w:rsid w:val="00783DC2"/>
    <w:rsid w:val="007915D6"/>
    <w:rsid w:val="007B3F00"/>
    <w:rsid w:val="007D203C"/>
    <w:rsid w:val="007D79E3"/>
    <w:rsid w:val="00824506"/>
    <w:rsid w:val="00834D31"/>
    <w:rsid w:val="0086777F"/>
    <w:rsid w:val="008E642B"/>
    <w:rsid w:val="008F4553"/>
    <w:rsid w:val="008F689A"/>
    <w:rsid w:val="00917ACE"/>
    <w:rsid w:val="009217B3"/>
    <w:rsid w:val="00951B72"/>
    <w:rsid w:val="009719A5"/>
    <w:rsid w:val="00987AFF"/>
    <w:rsid w:val="009A4672"/>
    <w:rsid w:val="009B4D18"/>
    <w:rsid w:val="009C6B22"/>
    <w:rsid w:val="009F6335"/>
    <w:rsid w:val="009F635A"/>
    <w:rsid w:val="009F6547"/>
    <w:rsid w:val="00A33877"/>
    <w:rsid w:val="00AB2E85"/>
    <w:rsid w:val="00AC74BB"/>
    <w:rsid w:val="00AC7710"/>
    <w:rsid w:val="00AD5755"/>
    <w:rsid w:val="00AE3B03"/>
    <w:rsid w:val="00B36AE5"/>
    <w:rsid w:val="00B56B46"/>
    <w:rsid w:val="00B91ADA"/>
    <w:rsid w:val="00BE628E"/>
    <w:rsid w:val="00C05D2A"/>
    <w:rsid w:val="00C30847"/>
    <w:rsid w:val="00C70BF3"/>
    <w:rsid w:val="00CA2A93"/>
    <w:rsid w:val="00CF22D4"/>
    <w:rsid w:val="00CF6B51"/>
    <w:rsid w:val="00D10232"/>
    <w:rsid w:val="00D2361B"/>
    <w:rsid w:val="00D31844"/>
    <w:rsid w:val="00D336E5"/>
    <w:rsid w:val="00D42308"/>
    <w:rsid w:val="00D62254"/>
    <w:rsid w:val="00D8470F"/>
    <w:rsid w:val="00D97F39"/>
    <w:rsid w:val="00DA2942"/>
    <w:rsid w:val="00DB2FB6"/>
    <w:rsid w:val="00DB7151"/>
    <w:rsid w:val="00DC6BC5"/>
    <w:rsid w:val="00DD091D"/>
    <w:rsid w:val="00DD72ED"/>
    <w:rsid w:val="00E02575"/>
    <w:rsid w:val="00E104E2"/>
    <w:rsid w:val="00E951FA"/>
    <w:rsid w:val="00ED078F"/>
    <w:rsid w:val="00EF7D38"/>
    <w:rsid w:val="00F46896"/>
    <w:rsid w:val="00F774D3"/>
    <w:rsid w:val="00F863E8"/>
    <w:rsid w:val="00F90445"/>
    <w:rsid w:val="00F90EA6"/>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uiPriority w:val="99"/>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ED078F"/>
    <w:pPr>
      <w:spacing w:after="120"/>
    </w:pPr>
  </w:style>
  <w:style w:type="character" w:customStyle="1" w:styleId="BodyTextChar">
    <w:name w:val="Body Text Char"/>
    <w:basedOn w:val="DefaultParagraphFont"/>
    <w:link w:val="BodyText"/>
    <w:uiPriority w:val="99"/>
    <w:semiHidden/>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m.likumi.lv/ta/id/50759-izglitibas-likums" TargetMode="External"/><Relationship Id="rId4" Type="http://schemas.openxmlformats.org/officeDocument/2006/relationships/webSettings" Target="webSettings.xml"/><Relationship Id="rId9" Type="http://schemas.openxmlformats.org/officeDocument/2006/relationships/hyperlink" Target="http://m.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2</cp:revision>
  <dcterms:created xsi:type="dcterms:W3CDTF">2018-01-11T11:37:00Z</dcterms:created>
  <dcterms:modified xsi:type="dcterms:W3CDTF">2018-01-11T11:37:00Z</dcterms:modified>
</cp:coreProperties>
</file>