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61" w:rsidRPr="005D7869" w:rsidRDefault="00EF3A61" w:rsidP="00EF3A61">
      <w:pPr>
        <w:keepNext/>
        <w:keepLines/>
        <w:spacing w:after="0" w:line="240" w:lineRule="auto"/>
        <w:jc w:val="right"/>
        <w:rPr>
          <w:rFonts w:ascii="Cambria" w:eastAsia="Times New Roman" w:hAnsi="Cambria" w:cs="Times New Roman"/>
          <w:sz w:val="20"/>
          <w:szCs w:val="20"/>
          <w:lang w:val="lv-LV"/>
        </w:rPr>
      </w:pPr>
      <w:r w:rsidRPr="005D7869">
        <w:rPr>
          <w:rFonts w:ascii="Cambria" w:eastAsia="Times New Roman" w:hAnsi="Cambria" w:cs="Times New Roman"/>
          <w:sz w:val="20"/>
          <w:szCs w:val="20"/>
          <w:lang w:val="lv-LV"/>
        </w:rPr>
        <w:t>9. pielikums</w:t>
      </w:r>
    </w:p>
    <w:p w:rsidR="00EF3A61" w:rsidRPr="005D7869" w:rsidRDefault="00EF3A61" w:rsidP="00EF3A61">
      <w:pPr>
        <w:keepNext/>
        <w:keepLines/>
        <w:spacing w:after="0" w:line="240" w:lineRule="auto"/>
        <w:jc w:val="right"/>
        <w:rPr>
          <w:rFonts w:ascii="Cambria" w:eastAsia="Times New Roman" w:hAnsi="Cambria" w:cs="Times New Roman"/>
          <w:sz w:val="20"/>
          <w:szCs w:val="20"/>
          <w:lang w:val="lv-LV"/>
        </w:rPr>
      </w:pPr>
      <w:r w:rsidRPr="005D7869">
        <w:rPr>
          <w:rFonts w:ascii="Cambria" w:eastAsia="Times New Roman" w:hAnsi="Cambria" w:cs="Times New Roman"/>
          <w:sz w:val="20"/>
          <w:szCs w:val="20"/>
          <w:lang w:val="lv-LV"/>
        </w:rPr>
        <w:t xml:space="preserve">Iepirkuma “Gaismas dārza </w:t>
      </w:r>
    </w:p>
    <w:p w:rsidR="00EF3A61" w:rsidRPr="005D7869" w:rsidRDefault="00EF3A61" w:rsidP="00EF3A61">
      <w:pPr>
        <w:keepNext/>
        <w:keepLines/>
        <w:spacing w:after="0" w:line="240" w:lineRule="auto"/>
        <w:jc w:val="right"/>
        <w:rPr>
          <w:rFonts w:ascii="Cambria" w:eastAsia="Times New Roman" w:hAnsi="Cambria" w:cs="Times New Roman"/>
          <w:sz w:val="20"/>
          <w:szCs w:val="20"/>
          <w:lang w:val="lv-LV"/>
        </w:rPr>
      </w:pPr>
      <w:r w:rsidRPr="005D7869">
        <w:rPr>
          <w:rFonts w:ascii="Cambria" w:eastAsia="Times New Roman" w:hAnsi="Cambria" w:cs="Times New Roman"/>
          <w:sz w:val="20"/>
          <w:szCs w:val="20"/>
          <w:lang w:val="lv-LV"/>
        </w:rPr>
        <w:t>ierīkošana Ludzā” instrukcijai</w:t>
      </w:r>
    </w:p>
    <w:p w:rsidR="00EF3A61" w:rsidRPr="005D7869" w:rsidRDefault="00EF3A61" w:rsidP="00EF3A61">
      <w:pPr>
        <w:keepNext/>
        <w:keepLines/>
        <w:jc w:val="center"/>
        <w:rPr>
          <w:rFonts w:ascii="Cambria" w:eastAsia="Times New Roman" w:hAnsi="Cambria" w:cs="Times New Roman"/>
          <w:b/>
          <w:sz w:val="24"/>
          <w:szCs w:val="20"/>
          <w:lang w:val="lv-LV"/>
        </w:rPr>
      </w:pPr>
      <w:r w:rsidRPr="005D7869">
        <w:rPr>
          <w:rFonts w:ascii="Cambria" w:eastAsia="Times New Roman" w:hAnsi="Cambria" w:cs="Times New Roman"/>
          <w:b/>
          <w:sz w:val="24"/>
          <w:szCs w:val="20"/>
          <w:lang w:val="lv-LV"/>
        </w:rPr>
        <w:t>TEHNISKAIS PIEDĀVĀJUMS</w:t>
      </w:r>
    </w:p>
    <w:p w:rsidR="00EF3A61" w:rsidRPr="005D7869" w:rsidRDefault="00EF3A61" w:rsidP="00EF3A61">
      <w:pPr>
        <w:keepNext/>
        <w:keepLines/>
        <w:spacing w:after="0" w:line="240" w:lineRule="auto"/>
        <w:jc w:val="center"/>
        <w:rPr>
          <w:rFonts w:ascii="Cambria" w:eastAsia="Times New Roman" w:hAnsi="Cambria" w:cs="Times New Roman"/>
          <w:bCs/>
          <w:sz w:val="24"/>
          <w:szCs w:val="26"/>
          <w:lang w:val="lv-LV"/>
        </w:rPr>
      </w:pPr>
      <w:r w:rsidRPr="005D7869">
        <w:rPr>
          <w:rFonts w:ascii="Cambria" w:eastAsia="Times New Roman" w:hAnsi="Cambria" w:cs="Times New Roman"/>
          <w:b/>
          <w:sz w:val="24"/>
          <w:szCs w:val="24"/>
          <w:lang w:val="lv-LV"/>
        </w:rPr>
        <w:t xml:space="preserve">Iepirkumam „Gaismas dārza ierīkošana </w:t>
      </w:r>
      <w:r w:rsidRPr="005D7869">
        <w:rPr>
          <w:rFonts w:ascii="Cambria" w:eastAsia="Times New Roman" w:hAnsi="Cambria" w:cs="Times New Roman"/>
          <w:b/>
          <w:bCs/>
          <w:iCs/>
          <w:sz w:val="24"/>
          <w:szCs w:val="24"/>
          <w:lang w:val="lv-LV"/>
        </w:rPr>
        <w:t>Ludzā”</w:t>
      </w:r>
      <w:r w:rsidRPr="005D7869">
        <w:rPr>
          <w:rFonts w:ascii="Cambria" w:eastAsia="Times New Roman" w:hAnsi="Cambria" w:cs="Times New Roman"/>
          <w:bCs/>
          <w:i/>
          <w:sz w:val="24"/>
          <w:szCs w:val="26"/>
          <w:lang w:val="lv-LV"/>
        </w:rPr>
        <w:t>,</w:t>
      </w:r>
    </w:p>
    <w:p w:rsidR="00EF3A61" w:rsidRPr="005D7869" w:rsidRDefault="00EF3A61" w:rsidP="00EF3A61">
      <w:pPr>
        <w:pStyle w:val="BodyText"/>
        <w:keepNext/>
        <w:keepLines/>
        <w:tabs>
          <w:tab w:val="left" w:pos="567"/>
          <w:tab w:val="left" w:pos="3600"/>
          <w:tab w:val="left" w:pos="4500"/>
        </w:tabs>
        <w:suppressAutoHyphens/>
        <w:spacing w:after="0"/>
        <w:jc w:val="center"/>
        <w:rPr>
          <w:rFonts w:ascii="Cambria" w:eastAsia="Calibri" w:hAnsi="Cambria" w:cs="Times New Roman"/>
          <w:bCs/>
          <w:iCs/>
          <w:sz w:val="24"/>
          <w:szCs w:val="24"/>
        </w:rPr>
      </w:pPr>
      <w:r w:rsidRPr="005D7869">
        <w:rPr>
          <w:rFonts w:ascii="Cambria" w:hAnsi="Cambria" w:cs="Times New Roman"/>
          <w:b/>
          <w:bCs/>
          <w:sz w:val="24"/>
          <w:szCs w:val="26"/>
        </w:rPr>
        <w:t>ID Nr.</w:t>
      </w:r>
      <w:r w:rsidRPr="005D7869">
        <w:rPr>
          <w:rFonts w:ascii="Cambria" w:hAnsi="Cambria" w:cs="Times New Roman"/>
          <w:b/>
          <w:bCs/>
          <w:i/>
          <w:sz w:val="24"/>
          <w:szCs w:val="26"/>
        </w:rPr>
        <w:t xml:space="preserve"> </w:t>
      </w:r>
      <w:r w:rsidRPr="005D7869">
        <w:rPr>
          <w:rFonts w:ascii="Cambria" w:hAnsi="Cambria" w:cs="Times New Roman"/>
          <w:b/>
          <w:bCs/>
          <w:sz w:val="24"/>
          <w:szCs w:val="26"/>
        </w:rPr>
        <w:t>LNP 2016/88</w:t>
      </w:r>
    </w:p>
    <w:p w:rsidR="00EF3A61" w:rsidRPr="005D7869" w:rsidRDefault="00EF3A61" w:rsidP="00EF3A61">
      <w:pPr>
        <w:pStyle w:val="BodyText"/>
        <w:keepNext/>
        <w:keepLines/>
        <w:tabs>
          <w:tab w:val="left" w:pos="3600"/>
          <w:tab w:val="left" w:pos="4500"/>
        </w:tabs>
        <w:suppressAutoHyphens/>
        <w:spacing w:before="120"/>
        <w:jc w:val="both"/>
        <w:rPr>
          <w:rFonts w:ascii="Cambria" w:hAnsi="Cambria" w:cs="Times New Roman"/>
          <w:sz w:val="24"/>
          <w:szCs w:val="24"/>
        </w:rPr>
      </w:pPr>
      <w:r w:rsidRPr="005D7869">
        <w:rPr>
          <w:rFonts w:ascii="Cambria" w:eastAsia="Calibri" w:hAnsi="Cambria" w:cs="Times New Roman"/>
          <w:bCs/>
          <w:iCs/>
          <w:sz w:val="24"/>
          <w:szCs w:val="24"/>
        </w:rPr>
        <w:t xml:space="preserve">1. </w:t>
      </w:r>
      <w:r w:rsidRPr="005D7869">
        <w:rPr>
          <w:rFonts w:ascii="Cambria" w:eastAsia="Calibri" w:hAnsi="Cambria" w:cs="Times New Roman"/>
          <w:b/>
          <w:bCs/>
          <w:iCs/>
          <w:sz w:val="24"/>
          <w:szCs w:val="24"/>
        </w:rPr>
        <w:t>Darba veikšanas kalendārais grafiks.</w:t>
      </w:r>
      <w:r w:rsidRPr="005D7869">
        <w:rPr>
          <w:rFonts w:ascii="Cambria" w:hAnsi="Cambria" w:cs="Times New Roman"/>
          <w:sz w:val="24"/>
          <w:szCs w:val="24"/>
        </w:rPr>
        <w:t xml:space="preserve"> Detalizācijas pakāpe – nedēļa. Tabulas veidā jānorāda Darbu daudzuma sarakstā minēto darbu izpildes termiņi atbilstoši instrukcijas, tehniskajās specifikācijās norādītajām prasībām, un pretendenta piedāvātājam darbu izpildes laikam. </w:t>
      </w:r>
    </w:p>
    <w:p w:rsidR="00EF3A61" w:rsidRPr="005D7869" w:rsidRDefault="00EF3A61" w:rsidP="00EF3A61">
      <w:pPr>
        <w:keepNext/>
        <w:keepLines/>
        <w:spacing w:before="120" w:after="120"/>
        <w:jc w:val="both"/>
        <w:rPr>
          <w:rFonts w:ascii="Cambria" w:eastAsia="Times New Roman" w:hAnsi="Cambria"/>
          <w:bCs/>
          <w:sz w:val="24"/>
          <w:szCs w:val="24"/>
          <w:lang w:val="lv-LV"/>
        </w:rPr>
      </w:pPr>
      <w:r w:rsidRPr="005D7869">
        <w:rPr>
          <w:rFonts w:ascii="Cambria" w:eastAsia="Times New Roman" w:hAnsi="Cambria"/>
          <w:bCs/>
          <w:sz w:val="24"/>
          <w:szCs w:val="24"/>
          <w:lang w:val="lv-LV"/>
        </w:rPr>
        <w:t xml:space="preserve">2. </w:t>
      </w:r>
      <w:r w:rsidRPr="005D7869">
        <w:rPr>
          <w:rFonts w:ascii="Cambria" w:eastAsia="Times New Roman" w:hAnsi="Cambria"/>
          <w:b/>
          <w:bCs/>
          <w:sz w:val="24"/>
          <w:szCs w:val="24"/>
          <w:lang w:val="lv-LV"/>
        </w:rPr>
        <w:t>Apliecinājums</w:t>
      </w:r>
      <w:r w:rsidRPr="005D7869">
        <w:rPr>
          <w:rFonts w:ascii="Cambria" w:eastAsia="Times New Roman" w:hAnsi="Cambria"/>
          <w:bCs/>
          <w:sz w:val="24"/>
          <w:szCs w:val="24"/>
          <w:lang w:val="lv-LV"/>
        </w:rPr>
        <w:t xml:space="preserve"> (brīvā formā) par to, ka:</w:t>
      </w:r>
    </w:p>
    <w:p w:rsidR="00EF3A61" w:rsidRPr="005D7869" w:rsidRDefault="00EF3A61" w:rsidP="00EF3A61">
      <w:pPr>
        <w:keepNext/>
        <w:keepLines/>
        <w:spacing w:before="120" w:after="120"/>
        <w:jc w:val="both"/>
        <w:rPr>
          <w:rFonts w:ascii="Cambria" w:eastAsia="Times New Roman" w:hAnsi="Cambria"/>
          <w:bCs/>
          <w:sz w:val="24"/>
          <w:szCs w:val="24"/>
          <w:lang w:val="lv-LV"/>
        </w:rPr>
      </w:pPr>
      <w:r w:rsidRPr="005D7869">
        <w:rPr>
          <w:rFonts w:ascii="Cambria" w:eastAsia="Times New Roman" w:hAnsi="Cambria"/>
          <w:bCs/>
          <w:sz w:val="24"/>
          <w:szCs w:val="24"/>
          <w:lang w:val="lv-LV"/>
        </w:rPr>
        <w:t xml:space="preserve">- </w:t>
      </w:r>
      <w:r w:rsidRPr="005D7869">
        <w:rPr>
          <w:rFonts w:ascii="Cambria" w:eastAsia="Times New Roman" w:hAnsi="Cambria"/>
          <w:sz w:val="24"/>
          <w:szCs w:val="24"/>
          <w:lang w:val="lv-LV" w:eastAsia="lv-LV" w:bidi="ne-NP"/>
        </w:rPr>
        <w:t>Pretendents ir pārbaudījis visus būvdarbu apjomus, un apzinās, ka pēc piedāvājuma iesniegšanas Pretendents nevar atsaukties uz nepilnīgu tehnisko informāciju. Pretendents ir ievērtējis, ka tehn</w:t>
      </w:r>
      <w:bookmarkStart w:id="0" w:name="_GoBack"/>
      <w:bookmarkEnd w:id="0"/>
      <w:r w:rsidRPr="005D7869">
        <w:rPr>
          <w:rFonts w:ascii="Cambria" w:eastAsia="Times New Roman" w:hAnsi="Cambria"/>
          <w:sz w:val="24"/>
          <w:szCs w:val="24"/>
          <w:lang w:val="lv-LV" w:eastAsia="lv-LV" w:bidi="ne-NP"/>
        </w:rPr>
        <w:t>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EF3A61" w:rsidRPr="005D7869" w:rsidRDefault="00EF3A61" w:rsidP="00EF3A61">
      <w:pPr>
        <w:keepNext/>
        <w:keepLines/>
        <w:spacing w:before="120" w:after="120"/>
        <w:jc w:val="both"/>
        <w:rPr>
          <w:rFonts w:ascii="Cambria" w:eastAsia="Times New Roman" w:hAnsi="Cambria"/>
          <w:b/>
          <w:bCs/>
          <w:sz w:val="24"/>
          <w:szCs w:val="24"/>
          <w:lang w:val="lv-LV"/>
        </w:rPr>
      </w:pPr>
      <w:r w:rsidRPr="005D7869">
        <w:rPr>
          <w:rFonts w:ascii="Cambria" w:eastAsia="Times New Roman" w:hAnsi="Cambria"/>
          <w:bCs/>
          <w:sz w:val="24"/>
          <w:szCs w:val="24"/>
          <w:lang w:val="lv-LV"/>
        </w:rPr>
        <w:t xml:space="preserve">- līgumslēgšanas tiesību piešķiršanas gadījumā Pretendents nodrošinās būvdarbu un materiālu garantijas apkalpošanu ne īsāku par </w:t>
      </w:r>
      <w:r w:rsidRPr="005D7869">
        <w:rPr>
          <w:rFonts w:ascii="Cambria" w:eastAsia="Times New Roman" w:hAnsi="Cambria"/>
          <w:b/>
          <w:bCs/>
          <w:sz w:val="24"/>
          <w:szCs w:val="24"/>
          <w:lang w:val="lv-LV"/>
        </w:rPr>
        <w:t xml:space="preserve">5 (pieciem) gadiem. </w:t>
      </w:r>
    </w:p>
    <w:p w:rsidR="00EF3A61" w:rsidRPr="005D7869" w:rsidRDefault="00EF3A61" w:rsidP="00EF3A61">
      <w:pPr>
        <w:pStyle w:val="ListParagraph"/>
        <w:keepNext/>
        <w:keepLines/>
        <w:ind w:left="0"/>
        <w:contextualSpacing w:val="0"/>
        <w:jc w:val="both"/>
        <w:rPr>
          <w:rFonts w:ascii="Cambria" w:hAnsi="Cambria"/>
          <w:sz w:val="24"/>
          <w:szCs w:val="24"/>
          <w:lang w:val="lv-LV"/>
        </w:rPr>
      </w:pPr>
      <w:r w:rsidRPr="005D7869">
        <w:rPr>
          <w:rFonts w:ascii="Cambria" w:hAnsi="Cambria"/>
          <w:sz w:val="24"/>
          <w:szCs w:val="24"/>
          <w:lang w:val="lv-LV"/>
        </w:rPr>
        <w:t xml:space="preserve">- </w:t>
      </w:r>
      <w:r w:rsidRPr="005D7869">
        <w:rPr>
          <w:rFonts w:ascii="Cambria" w:eastAsia="Times New Roman" w:hAnsi="Cambria"/>
          <w:bCs/>
          <w:sz w:val="24"/>
          <w:szCs w:val="24"/>
          <w:lang w:val="lv-LV"/>
        </w:rPr>
        <w:t xml:space="preserve">līgumslēgšanas tiesību piešķiršanas gadījumā Pretendents ievēros </w:t>
      </w:r>
      <w:r w:rsidRPr="005D7869">
        <w:rPr>
          <w:rFonts w:ascii="Cambria" w:hAnsi="Cambria"/>
          <w:sz w:val="24"/>
          <w:szCs w:val="24"/>
          <w:lang w:val="lv-LV"/>
        </w:rPr>
        <w:t xml:space="preserve">Ministru kabineta 25.02.2003. noteikumos Nr.92 „Darba aizsardzības prasības, veicot būvdarbus” noteiktās prasības; </w:t>
      </w:r>
    </w:p>
    <w:p w:rsidR="00744C2C" w:rsidRDefault="00EF3A61" w:rsidP="00EF3A61">
      <w:r w:rsidRPr="005D7869">
        <w:rPr>
          <w:rFonts w:ascii="Cambria" w:hAnsi="Cambria"/>
          <w:sz w:val="24"/>
          <w:szCs w:val="24"/>
          <w:lang w:val="lv-LV"/>
        </w:rPr>
        <w:t xml:space="preserve">- </w:t>
      </w:r>
      <w:r w:rsidRPr="005D7869">
        <w:rPr>
          <w:rFonts w:ascii="Cambria" w:eastAsia="Times New Roman" w:hAnsi="Cambria"/>
          <w:bCs/>
          <w:sz w:val="24"/>
          <w:szCs w:val="24"/>
          <w:lang w:val="lv-LV"/>
        </w:rPr>
        <w:t xml:space="preserve">līgumslēgšanas tiesību piešķiršanas gadījumā </w:t>
      </w:r>
      <w:r w:rsidRPr="005D7869">
        <w:rPr>
          <w:rFonts w:ascii="Cambria" w:hAnsi="Cambria"/>
          <w:sz w:val="24"/>
          <w:szCs w:val="24"/>
          <w:lang w:val="lv-LV"/>
        </w:rPr>
        <w:t>Pretendents uz sava rēķina veiks būvspeciālistu apdrošināšanu atbilstoši Ministru kabineta 19.08.2014. noteikumu Nr. 502 „Noteikumi par būvspeciālistu un būvdarbu veicēju civiltiesiskās atbildības o</w:t>
      </w:r>
      <w:r>
        <w:rPr>
          <w:rFonts w:ascii="Cambria" w:hAnsi="Cambria"/>
          <w:sz w:val="24"/>
          <w:szCs w:val="24"/>
          <w:lang w:val="lv-LV"/>
        </w:rPr>
        <w:t xml:space="preserve">bligāto apdrošināšanu” prasībām un uzturēs to spēkā objekta darbu un būvmateriālu garantijas laikā </w:t>
      </w:r>
      <w:proofErr w:type="gramStart"/>
      <w:r>
        <w:rPr>
          <w:rFonts w:ascii="Cambria" w:hAnsi="Cambria"/>
          <w:sz w:val="24"/>
          <w:szCs w:val="24"/>
          <w:lang w:val="lv-LV"/>
        </w:rPr>
        <w:t>(</w:t>
      </w:r>
      <w:proofErr w:type="gramEnd"/>
      <w:r>
        <w:rPr>
          <w:rFonts w:ascii="Cambria" w:hAnsi="Cambria"/>
          <w:sz w:val="24"/>
          <w:szCs w:val="24"/>
          <w:lang w:val="lv-LV"/>
        </w:rPr>
        <w:t>min. 5 gadu laikā no nodošanas – pieņemšanas akta parakstīšanas dienas.</w:t>
      </w:r>
    </w:p>
    <w:sectPr w:rsidR="00744C2C" w:rsidSect="00EF3A61">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61"/>
    <w:rsid w:val="00744C2C"/>
    <w:rsid w:val="00EF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E9891-0DB4-4AC4-8B22-B7F2FD2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A61"/>
    <w:pPr>
      <w:spacing w:after="160" w:line="259"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3A61"/>
    <w:pPr>
      <w:ind w:left="720"/>
      <w:contextualSpacing/>
    </w:pPr>
  </w:style>
  <w:style w:type="paragraph" w:styleId="BodyText">
    <w:name w:val="Body Text"/>
    <w:basedOn w:val="Normal"/>
    <w:link w:val="BodyTextChar"/>
    <w:rsid w:val="00EF3A61"/>
    <w:pPr>
      <w:spacing w:after="120" w:line="240" w:lineRule="auto"/>
    </w:pPr>
    <w:rPr>
      <w:rFonts w:ascii="Arial" w:eastAsia="Times New Roman" w:hAnsi="Arial" w:cs="Calibri"/>
      <w:sz w:val="20"/>
      <w:lang w:val="lv-LV" w:eastAsia="lv-LV"/>
    </w:rPr>
  </w:style>
  <w:style w:type="character" w:customStyle="1" w:styleId="BodyTextChar">
    <w:name w:val="Body Text Char"/>
    <w:basedOn w:val="DefaultParagraphFont"/>
    <w:link w:val="BodyText"/>
    <w:rsid w:val="00EF3A61"/>
    <w:rPr>
      <w:rFonts w:ascii="Arial" w:eastAsia="Times New Roman" w:hAnsi="Arial" w:cs="Calibri"/>
      <w:sz w:val="20"/>
      <w:lang w:val="lv-LV" w:eastAsia="lv-LV"/>
    </w:rPr>
  </w:style>
  <w:style w:type="character" w:customStyle="1" w:styleId="ListParagraphChar">
    <w:name w:val="List Paragraph Char"/>
    <w:link w:val="ListParagraph"/>
    <w:uiPriority w:val="34"/>
    <w:rsid w:val="00EF3A6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Andruščenko</dc:creator>
  <cp:keywords/>
  <dc:description/>
  <cp:lastModifiedBy>Viola Andruščenko</cp:lastModifiedBy>
  <cp:revision>1</cp:revision>
  <dcterms:created xsi:type="dcterms:W3CDTF">2016-11-23T13:18:00Z</dcterms:created>
  <dcterms:modified xsi:type="dcterms:W3CDTF">2016-11-23T13:19:00Z</dcterms:modified>
</cp:coreProperties>
</file>